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aragraph"/>
        <w:spacing w:beforeAutospacing="0" w:before="0" w:afterAutospacing="0" w:after="0"/>
        <w:ind w:left="4320"/>
        <w:textAlignment w:val="baseline"/>
        <w:rPr/>
      </w:pPr>
      <w:r>
        <w:rPr/>
      </w:r>
    </w:p>
    <w:p>
      <w:pPr>
        <w:pStyle w:val="Normal"/>
        <w:widowControl w:val="false"/>
        <w:tabs>
          <w:tab w:val="clear" w:pos="1296"/>
          <w:tab w:val="left" w:pos="567" w:leader="none"/>
          <w:tab w:val="left" w:pos="851" w:leader="none"/>
        </w:tabs>
        <w:jc w:val="center"/>
        <w:rPr>
          <w:b/>
          <w:bCs/>
          <w:caps/>
          <w:szCs w:val="24"/>
        </w:rPr>
      </w:pPr>
      <w:r>
        <w:rPr>
          <w:b/>
          <w:bCs/>
          <w:caps/>
          <w:szCs w:val="24"/>
        </w:rPr>
        <w:t>paslaugų pirkimo-pardavimo sutarties Specialiosios sąlygos</w:t>
      </w:r>
    </w:p>
    <w:p>
      <w:pPr>
        <w:pStyle w:val="Normal"/>
        <w:widowControl w:val="false"/>
        <w:tabs>
          <w:tab w:val="clear" w:pos="1296"/>
          <w:tab w:val="left" w:pos="567" w:leader="none"/>
          <w:tab w:val="left" w:pos="851" w:leader="none"/>
        </w:tabs>
        <w:jc w:val="center"/>
        <w:rPr>
          <w:b/>
          <w:bCs/>
          <w:caps/>
          <w:szCs w:val="24"/>
        </w:rPr>
      </w:pPr>
      <w:r>
        <w:rPr>
          <w:b/>
          <w:bCs/>
          <w:caps/>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3"/>
        <w:gridCol w:w="2184"/>
        <w:gridCol w:w="2359"/>
        <w:gridCol w:w="2571"/>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VĮ VALSTYBINIŲ MIŠKŲ URĖDIJOS DARBUOTOJŲ DRAUDIMO NUO NELAIMINGŲ ATSITIKIMŲ PASLAUGOS</w:t>
            </w:r>
          </w:p>
        </w:tc>
      </w:tr>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data</w:t>
            </w:r>
          </w:p>
        </w:tc>
        <w:tc>
          <w:tcPr>
            <w:tcW w:w="2184"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c>
          <w:tcPr>
            <w:tcW w:w="2359"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Valstybės įmonė Valstybinių miškų urėdija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132340880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Autospacing="0" w:before="0" w:afterAutospacing="0" w:after="0"/>
              <w:jc w:val="center"/>
              <w:textAlignment w:val="baseline"/>
              <w:rPr>
                <w:rFonts w:ascii="Segoe UI" w:hAnsi="Segoe UI" w:cs="Segoe UI"/>
                <w:sz w:val="18"/>
                <w:szCs w:val="18"/>
              </w:rPr>
            </w:pPr>
            <w:r>
              <w:rPr>
                <w:rStyle w:val="normaltextrun"/>
              </w:rPr>
              <w:t>Registracijos adresas: Pramonės pr. 11A-9, 51327 Kaunas</w:t>
            </w:r>
          </w:p>
          <w:p>
            <w:pPr>
              <w:pStyle w:val="Normal"/>
              <w:jc w:val="center"/>
              <w:rPr>
                <w:kern w:val="2"/>
                <w:szCs w:val="24"/>
              </w:rPr>
            </w:pPr>
            <w:r>
              <w:rPr>
                <w:rStyle w:val="normaltextrun"/>
              </w:rPr>
              <w:t>Buveinės adresas: Savanorių pr. 176, 03154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LT323408811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LT84 7044 0600 0812 3597</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Autospacing="0" w:before="0" w:afterAutospacing="0" w:after="0"/>
              <w:jc w:val="center"/>
              <w:textAlignment w:val="baseline"/>
              <w:rPr>
                <w:rFonts w:ascii="Segoe UI" w:hAnsi="Segoe UI" w:cs="Segoe UI"/>
                <w:sz w:val="18"/>
                <w:szCs w:val="18"/>
              </w:rPr>
            </w:pPr>
            <w:r>
              <w:rPr>
                <w:rStyle w:val="normaltextrun"/>
              </w:rPr>
              <w:t>AB SEB bankas,</w:t>
            </w:r>
          </w:p>
          <w:p>
            <w:pPr>
              <w:pStyle w:val="Normal"/>
              <w:jc w:val="center"/>
              <w:rPr>
                <w:kern w:val="2"/>
                <w:szCs w:val="24"/>
              </w:rPr>
            </w:pPr>
            <w:r>
              <w:rPr>
                <w:rStyle w:val="normaltextrun"/>
              </w:rPr>
              <w:t>banko kodas: 70440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+370 5 273 4021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hyperlink r:id="rId2" w:tgtFrame="_blank">
              <w:r>
                <w:rPr>
                  <w:rStyle w:val="ListLabel1"/>
                  <w:color w:val="0000FF"/>
                </w:rPr>
                <w:t>info@vmu.lt</w:t>
              </w:r>
            </w:hyperlink>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1.2. Tiekėjas</w:t>
            </w:r>
          </w:p>
          <w:p>
            <w:pPr>
              <w:pStyle w:val="Normal"/>
              <w:rPr>
                <w:color w:val="4472C4"/>
                <w:kern w:val="2"/>
                <w:szCs w:val="24"/>
              </w:rPr>
            </w:pPr>
            <w:r>
              <w:rPr>
                <w:color w:val="4472C4"/>
                <w:kern w:val="2"/>
                <w:szCs w:val="24"/>
              </w:rPr>
              <w:t>(jei Tiekėjas yra fizinis asmuo, skiltys atitinkamai pakoreguojamos.</w:t>
            </w:r>
          </w:p>
          <w:p>
            <w:pPr>
              <w:pStyle w:val="Normal"/>
              <w:rPr>
                <w:color w:val="4472C4"/>
                <w:kern w:val="2"/>
                <w:szCs w:val="24"/>
              </w:rPr>
            </w:pPr>
            <w:r>
              <w:rPr>
                <w:color w:val="4472C4"/>
                <w:kern w:val="2"/>
                <w:szCs w:val="24"/>
              </w:rPr>
              <w:t>Jei Tiekėjas yra tiekėjų grupė, skiltys pildomos įterpiant kiekvieno grupės nario informaciją)</w:t>
            </w:r>
          </w:p>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bl>
    <w:p>
      <w:pPr>
        <w:pStyle w:val="Normal"/>
        <w:jc w:val="both"/>
        <w:rPr>
          <w:szCs w:val="24"/>
        </w:rPr>
      </w:pPr>
      <w:r>
        <w:rPr>
          <w:szCs w:val="24"/>
        </w:rPr>
      </w:r>
    </w:p>
    <w:tbl>
      <w:tblPr>
        <w:tblW w:w="953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055"/>
        <w:gridCol w:w="41"/>
        <w:gridCol w:w="2130"/>
        <w:gridCol w:w="4308"/>
      </w:tblGrid>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2. ATSAKINGI ASMENYS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2.2. Tiekėjo kontaktiniai asmenys, atsakingi už Sutarties vykdymą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3. SUTARTIES DALYKAS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3.1. Sutarties dalykas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kern w:val="2"/>
                <w:szCs w:val="24"/>
              </w:rPr>
              <w:t>Tiekėjas įsipareigoja Sutartyje numatytomis sąlygomis suteikti Pirkėjui darbuotojų draudimo nuo nelaimingų atsitikimų paslaugas</w:t>
            </w:r>
            <w:r>
              <w:rPr>
                <w:color w:val="000000"/>
                <w:kern w:val="2"/>
                <w:szCs w:val="24"/>
              </w:rPr>
              <w:t xml:space="preserve"> (toliau – Paslaugos).</w:t>
            </w:r>
          </w:p>
          <w:p>
            <w:pPr>
              <w:pStyle w:val="Normal"/>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„VĮ Valstybinių miškų urėdijos darbuotojų draudimo nuo nelaimingų atsitikimų paslaugų pirkimo techninė specifikacija“ (toliau – Techninė specifikacija) ir Sutarties priede Nr. 2 „Pasiūlymas“.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3.2. Pirkimo pavadinimas ir numeris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3.3. Informacija apie Europos Sąjungos lėšomis finansuojamą projektą arba kitą projektą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pPr>
              <w:pStyle w:val="Normal"/>
              <w:rPr>
                <w:b/>
                <w:kern w:val="2"/>
                <w:szCs w:val="24"/>
              </w:rPr>
            </w:pPr>
            <w:r>
              <w:rPr>
                <w:b/>
                <w:kern w:val="2"/>
                <w:szCs w:val="24"/>
              </w:rPr>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szCs w:val="24"/>
              </w:rPr>
              <w:t xml:space="preserve">Tiekėjas Paslaugas įsipareigoja teikti </w:t>
            </w:r>
            <w:r>
              <w:rPr>
                <w:b/>
                <w:bCs/>
                <w:szCs w:val="24"/>
              </w:rPr>
              <w:t>nuo 2026 sausio 10 d. 00:00 val. iki 2027 sausio 9 d. 24:00 val.</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4.2. Paslaugų / jų dalies / etapo / periodo suteikimo termino pratęsimas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4.3. Užsakymų teikimo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szCs w:val="24"/>
              </w:rPr>
              <w:t>Netaikoma</w:t>
            </w:r>
          </w:p>
          <w:p>
            <w:pPr>
              <w:pStyle w:val="Normal"/>
              <w:rPr>
                <w:szCs w:val="24"/>
              </w:rPr>
            </w:pPr>
            <w:r>
              <w:rPr>
                <w:szCs w:val="24"/>
              </w:rPr>
            </w:r>
          </w:p>
        </w:tc>
      </w:tr>
      <w:tr>
        <w:trPr>
          <w:trHeight w:val="3341"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4.4. Dėl minimalios Užsakymo vertės ar apimties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4.5. Pateikiami dokumentai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sz w:val="22"/>
                <w:szCs w:val="22"/>
              </w:rPr>
            </w:pPr>
            <w:r>
              <w:rPr>
                <w:color w:val="000000"/>
                <w:kern w:val="2"/>
                <w:szCs w:val="24"/>
              </w:rPr>
              <w:t>Turi būti pateikiami šie dokumentai: D</w:t>
            </w:r>
            <w:r>
              <w:rPr>
                <w:color w:val="000000"/>
                <w:kern w:val="2"/>
                <w:szCs w:val="24"/>
                <w:lang w:eastAsia="lt-LT"/>
              </w:rPr>
              <w:t>raudimo polisas</w:t>
            </w:r>
            <w:r>
              <w:rPr>
                <w:color w:val="000000"/>
                <w:kern w:val="2"/>
                <w:szCs w:val="24"/>
              </w:rPr>
              <w:t xml:space="preserve"> ir Sąskaita. Tiekėjui nepateikus nurodytų dokumentų, laikoma, kad Paslaugos neatitinka Sutartyje nustatytų reikalavimų.</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5. SUTARTIES KAINA IR ATSISKAITYMO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5.1. Sutarčiai taikomas kainos apskaičiavimo būdas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Fiksuoto įkainio kainodara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pPr>
              <w:pStyle w:val="Normal"/>
              <w:rPr>
                <w:b/>
                <w:kern w:val="2"/>
                <w:szCs w:val="24"/>
              </w:rPr>
            </w:pPr>
            <w:r>
              <w:rPr>
                <w:b/>
                <w:kern w:val="2"/>
                <w:szCs w:val="24"/>
              </w:rPr>
            </w:r>
          </w:p>
          <w:p>
            <w:pPr>
              <w:pStyle w:val="Normal"/>
              <w:rPr>
                <w:b/>
                <w:kern w:val="2"/>
                <w:szCs w:val="24"/>
              </w:rPr>
            </w:pPr>
            <w:r>
              <w:rPr>
                <w:b/>
                <w:kern w:val="2"/>
                <w:szCs w:val="24"/>
              </w:rPr>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 xml:space="preserve">Pradinės Sutarties vertė yra </w:t>
            </w:r>
            <w:r>
              <w:rPr>
                <w:b/>
                <w:bCs/>
                <w:color w:val="000000"/>
                <w:kern w:val="2"/>
                <w:szCs w:val="24"/>
              </w:rPr>
              <w:t>500 000 (penki šimtai tūkstančių eurų, 00 centų) Eur be PVM.</w:t>
            </w:r>
          </w:p>
          <w:p>
            <w:pPr>
              <w:pStyle w:val="Normal"/>
              <w:rPr>
                <w:color w:val="000000"/>
                <w:kern w:val="2"/>
                <w:szCs w:val="24"/>
              </w:rPr>
            </w:pPr>
            <w:r>
              <w:rPr>
                <w:color w:val="000000"/>
                <w:kern w:val="2"/>
                <w:szCs w:val="24"/>
              </w:rPr>
            </w:r>
          </w:p>
          <w:p>
            <w:pPr>
              <w:pStyle w:val="Normal"/>
              <w:rPr>
                <w:color w:val="000000"/>
                <w:kern w:val="2"/>
                <w:szCs w:val="24"/>
              </w:rPr>
            </w:pPr>
            <w:r>
              <w:rPr>
                <w:color w:val="000000"/>
                <w:kern w:val="2"/>
                <w:szCs w:val="24"/>
              </w:rPr>
              <w:t xml:space="preserve">Šioje Sutartyje Pradinės Sutarties vertė yra lygi maksimaliai pirkimui skirtai lėšų sumai be PVM pirkimo dokumentuose ir Sutartyje nurodytų Paslaugų įsigijimui. Pirkėjas perka Paslaugas pagal poreikį jos priede Nr. 2 „Pasiūlymas“ nurodytais įkainiais, neviršijant </w:t>
            </w:r>
            <w:r>
              <w:rPr>
                <w:color w:val="000000"/>
                <w:kern w:val="2"/>
                <w:szCs w:val="24"/>
              </w:rPr>
              <w:t xml:space="preserve">pradinės </w:t>
            </w:r>
            <w:r>
              <w:rPr>
                <w:color w:val="000000"/>
                <w:kern w:val="2"/>
                <w:szCs w:val="24"/>
              </w:rPr>
              <w:t xml:space="preserve">Sutarties </w:t>
            </w:r>
            <w:r>
              <w:rPr>
                <w:color w:val="000000"/>
                <w:kern w:val="2"/>
                <w:szCs w:val="24"/>
              </w:rPr>
              <w:t>vertės</w:t>
            </w:r>
            <w:r>
              <w:rPr>
                <w:color w:val="000000"/>
                <w:kern w:val="2"/>
                <w:szCs w:val="24"/>
              </w:rPr>
              <w:t>. Sutartyje arba jos priede Nr. 1 ,,Techninė specifikacija“ atskirose eilutėse nurodytas Paslaugų kiekis gali būti keičiamas (didėti ar mažėti).</w:t>
            </w:r>
          </w:p>
          <w:p>
            <w:pPr>
              <w:pStyle w:val="Normal"/>
              <w:rPr>
                <w:color w:val="000000"/>
                <w:kern w:val="2"/>
                <w:szCs w:val="24"/>
              </w:rPr>
            </w:pPr>
            <w:r>
              <w:rPr>
                <w:color w:val="000000"/>
                <w:kern w:val="2"/>
                <w:szCs w:val="24"/>
              </w:rPr>
              <w:t>Pirkėjas neįsipareigoja išpirkti preliminaraus Paslaugų kiekio ar bet kokios jo dalies.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pPr>
              <w:pStyle w:val="Normal"/>
              <w:rPr>
                <w:b/>
                <w:kern w:val="2"/>
                <w:szCs w:val="24"/>
              </w:rPr>
            </w:pPr>
            <w:r>
              <w:rPr>
                <w:b/>
                <w:kern w:val="2"/>
                <w:szCs w:val="24"/>
              </w:rPr>
            </w:r>
          </w:p>
          <w:p>
            <w:pPr>
              <w:pStyle w:val="Normal"/>
              <w:rPr>
                <w:kern w:val="2"/>
                <w:szCs w:val="24"/>
              </w:rPr>
            </w:pPr>
            <w:r>
              <w:rPr>
                <w:kern w:val="2"/>
                <w:szCs w:val="24"/>
              </w:rPr>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Sutarties įkainiai bus perskaičiuojami:</w:t>
            </w:r>
          </w:p>
          <w:p>
            <w:pPr>
              <w:pStyle w:val="Normal"/>
              <w:rPr>
                <w:color w:val="000000"/>
              </w:rPr>
            </w:pPr>
            <w:r>
              <w:rPr>
                <w:color w:val="000000"/>
                <w:kern w:val="2"/>
                <w:szCs w:val="24"/>
              </w:rPr>
              <w:t>5.3.3. dėl kainų lygio pokyčio.</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5.3.1. Sutarties kainos / įkainių peržiūra dėl PVM tarifo pasikeitimo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
                <w:kern w:val="2"/>
                <w:szCs w:val="24"/>
              </w:rPr>
              <w:t>5.3.3. Sutarties kainos / įkainių peržiūra dėl kainų lygio pokyčio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pPr>
            <w:r>
              <w:rPr>
                <w:color w:val="000000"/>
                <w:kern w:val="2"/>
                <w:szCs w:val="24"/>
                <w:shd w:fill="FFFFFF" w:val="clear"/>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10 procentų arba yra mažesnis nei -10 procentų (naudojamas duomenų šaltinis – http://www.stat.gov.lt). Sutarties įkainių peržiūra atliekama ne rečiau kaip kas 6 (šeši) mėnesiai.</w:t>
            </w:r>
          </w:p>
          <w:p>
            <w:pPr>
              <w:pStyle w:val="Normal"/>
              <w:rPr>
                <w:color w:val="000000"/>
              </w:rPr>
            </w:pPr>
            <w:r>
              <w:rPr>
                <w:color w:val="000000"/>
                <w:kern w:val="2"/>
                <w:szCs w:val="24"/>
                <w:shd w:fill="FFFFFF" w:val="clear"/>
              </w:rPr>
              <w:t>5.3.3.2. Sutarties įkainiai peržiūrimi tik tai Sutarties daliai, kuri nėra išpirkta, t. y., Prekėms, kurios nėra priimtos ir apmokėtos. Vėlesnė Sutarties įkainių peržiūra negali apimti laikotarpio, už kurį jau buvo atliktas peržiūra.</w:t>
            </w:r>
          </w:p>
          <w:p>
            <w:pPr>
              <w:pStyle w:val="Normal"/>
              <w:rPr>
                <w:color w:val="000000"/>
              </w:rPr>
            </w:pPr>
            <w:r>
              <w:rPr>
                <w:color w:val="000000"/>
                <w:kern w:val="2"/>
                <w:szCs w:val="24"/>
                <w:shd w:fill="FFFFFF" w:val="clear"/>
              </w:rPr>
              <w:t>5.3.3.3. Jeigu Prekių tiekimas vėluoja dėl Tiekėjo kaltės, uždelstų pristatyti Prekių įkainiai nėra perskaičiuojami dėl kainų lygio kilimo (gali būti mažinami, tačiau negali būti didinami).</w:t>
            </w:r>
          </w:p>
          <w:p>
            <w:pPr>
              <w:pStyle w:val="Normal"/>
              <w:rPr>
                <w:color w:val="000000"/>
              </w:rPr>
            </w:pPr>
            <w:r>
              <w:rPr>
                <w:color w:val="000000"/>
                <w:kern w:val="2"/>
                <w:szCs w:val="24"/>
                <w:shd w:fill="FFFFFF" w:val="clear"/>
              </w:rPr>
              <w:t>5.3.3.4. Atlikdamos Sutarties įkainių peržiūrą Šalys vadovaujasi Valstybės duomenų agentūros viešai Oficialiosios statistikos portale paskelbtais Rodiklių duomenų bazės duomenimis (</w:t>
            </w:r>
            <w:hyperlink r:id="rId3">
              <w:r>
                <w:rPr>
                  <w:rStyle w:val="Hyperlink"/>
                  <w:color w:val="000000"/>
                  <w:kern w:val="2"/>
                  <w:szCs w:val="24"/>
                  <w:shd w:fill="FFFFFF" w:val="clear"/>
                </w:rPr>
                <w:t>https://osp.stat.gov.lt/</w:t>
              </w:r>
            </w:hyperlink>
            <w:r>
              <w:rPr>
                <w:color w:val="000000"/>
                <w:kern w:val="2"/>
                <w:szCs w:val="24"/>
                <w:shd w:fill="FFFFFF" w:val="clear"/>
              </w:rPr>
              <w:t>).</w:t>
            </w:r>
          </w:p>
          <w:p>
            <w:pPr>
              <w:pStyle w:val="Normal"/>
              <w:rPr>
                <w:color w:val="000000"/>
              </w:rPr>
            </w:pPr>
            <w:r>
              <w:rPr>
                <w:color w:val="000000"/>
                <w:kern w:val="2"/>
                <w:szCs w:val="24"/>
                <w:shd w:fill="FFFFFF" w:val="clear"/>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pPr>
              <w:pStyle w:val="Normal"/>
              <w:rPr>
                <w:color w:val="000000"/>
              </w:rPr>
            </w:pPr>
            <w:r>
              <w:rPr>
                <w:color w:val="000000"/>
                <w:kern w:val="2"/>
                <w:szCs w:val="24"/>
                <w:shd w:fill="FFFFFF" w:val="clear"/>
              </w:rPr>
              <w:t>5.3.3.6. Nauja Sutarties įkainiai apskaičiuojami pagal žemiau pateiktą formulę:</w:t>
            </w:r>
          </w:p>
          <w:p>
            <w:pPr>
              <w:pStyle w:val="Normal"/>
              <w:rPr>
                <w:color w:val="000000"/>
                <w:szCs w:val="24"/>
              </w:rPr>
            </w:pPr>
            <w:r>
              <w:rPr>
                <w:color w:val="000000"/>
                <w:szCs w:val="24"/>
              </w:rPr>
            </w:r>
          </w:p>
          <w:p>
            <w:pPr>
              <w:pStyle w:val="Normal"/>
              <w:jc w:val="both"/>
              <w:textAlignment w:val="baseline"/>
              <w:rPr>
                <w:color w:val="000000"/>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color w:val="000000"/>
                <w:kern w:val="2"/>
                <w:szCs w:val="24"/>
              </w:rPr>
              <w:t>, kur a – įkainis (Eur be PVM) (jei peržiūra jau buvo atlikta, tai po paskutinio perskaičiavimo)</w:t>
            </w:r>
          </w:p>
          <w:p>
            <w:pPr>
              <w:pStyle w:val="Normal"/>
              <w:jc w:val="both"/>
              <w:textAlignment w:val="baseline"/>
              <w:rPr>
                <w:color w:val="000000"/>
              </w:rPr>
            </w:pPr>
            <w:r>
              <w:rPr>
                <w:color w:val="000000"/>
                <w:kern w:val="2"/>
                <w:szCs w:val="24"/>
              </w:rPr>
              <w:t>a</w:t>
            </w:r>
            <w:r>
              <w:rPr>
                <w:color w:val="000000"/>
                <w:kern w:val="2"/>
                <w:szCs w:val="24"/>
                <w:vertAlign w:val="subscript"/>
              </w:rPr>
              <w:t>1</w:t>
            </w:r>
            <w:r>
              <w:rPr>
                <w:color w:val="000000"/>
                <w:kern w:val="2"/>
                <w:szCs w:val="24"/>
              </w:rPr>
              <w:t xml:space="preserve"> – perskaičiuota (pakeista) įkainis (Eur be PVM)</w:t>
            </w:r>
          </w:p>
          <w:p>
            <w:pPr>
              <w:pStyle w:val="Normal"/>
              <w:jc w:val="both"/>
              <w:textAlignment w:val="baseline"/>
              <w:rPr>
                <w:color w:val="000000"/>
              </w:rPr>
            </w:pPr>
            <w:r>
              <w:rPr>
                <w:color w:val="000000"/>
                <w:kern w:val="2"/>
                <w:szCs w:val="24"/>
              </w:rPr>
              <w:t>k – pagal vartotojų kainų indeksą (1253 Sveikatos draudimas) apskaičiuotas Vartojimo prekių ir paslaugų kainų pokytis (padidėjimas arba sumažėjimas) (%). „k“ reikšmė skaičiuojama pagal formulę:</w:t>
            </w:r>
          </w:p>
          <w:p>
            <w:pPr>
              <w:pStyle w:val="Normal"/>
              <w:jc w:val="both"/>
              <w:textAlignment w:val="baseline"/>
              <w:rPr>
                <w:color w:val="000000"/>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m:t>
                      </m:r>
                      <m:r>
                        <w:rPr>
                          <w:rFonts w:ascii="Cambria Math" w:hAnsi="Cambria Math"/>
                        </w:rPr>
                        <m:t xml:space="preserve">ž</m:t>
                      </m:r>
                      <m:r>
                        <w:rPr>
                          <w:rFonts w:ascii="Cambria Math" w:hAnsi="Cambria Math"/>
                        </w:rPr>
                        <m:t xml:space="preserve">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color w:val="000000"/>
                <w:kern w:val="2"/>
                <w:szCs w:val="24"/>
              </w:rPr>
              <w:t>, (proc.) kur</w:t>
            </w:r>
          </w:p>
          <w:p>
            <w:pPr>
              <w:pStyle w:val="Normal"/>
              <w:jc w:val="both"/>
              <w:textAlignment w:val="baseline"/>
              <w:rPr>
                <w:color w:val="000000"/>
              </w:rPr>
            </w:pPr>
            <w:r>
              <w:rPr>
                <w:color w:val="000000"/>
                <w:kern w:val="2"/>
              </w:rPr>
              <w:t>Ind</w:t>
            </w:r>
            <w:r>
              <w:rPr>
                <w:color w:val="000000"/>
                <w:kern w:val="2"/>
                <w:vertAlign w:val="subscript"/>
              </w:rPr>
              <w:t>naujausias</w:t>
            </w:r>
            <w:r>
              <w:rPr>
                <w:color w:val="000000"/>
                <w:kern w:val="2"/>
              </w:rPr>
              <w:t xml:space="preserve"> – kreipimosi dėl įkainių peržiūros išsiuntimo kitai Šaliai dieną paskelbtas naujausias vartojimo prekių ir paslaugų indeksas (1253 Sveikatos draudimas).</w:t>
            </w:r>
          </w:p>
          <w:p>
            <w:pPr>
              <w:pStyle w:val="Normal"/>
              <w:rPr>
                <w:color w:val="000000"/>
              </w:rPr>
            </w:pPr>
            <w:r>
              <w:rPr>
                <w:color w:val="000000"/>
                <w:kern w:val="2"/>
              </w:rPr>
              <w:t>Ind</w:t>
            </w:r>
            <w:r>
              <w:rPr>
                <w:color w:val="000000"/>
                <w:kern w:val="2"/>
                <w:vertAlign w:val="subscript"/>
              </w:rPr>
              <w:t>pradžia</w:t>
            </w:r>
            <w:r>
              <w:rPr>
                <w:color w:val="000000"/>
                <w:kern w:val="2"/>
              </w:rPr>
              <w:t xml:space="preserve"> – laikotarpio pradžios datos (mėnesio) vartojimo prekių ir paslaugų indeksas (1253 Sveikatos draudimas). Pirmojo perskaičiavimo atveju laikotarpio pradžia (mėnuo) yra</w:t>
            </w:r>
            <w:r>
              <w:rPr>
                <w:color w:val="000000"/>
              </w:rPr>
              <w:t xml:space="preserve"> Sutarties įsigaliojimo dienos mėnuo</w:t>
            </w:r>
            <w:r>
              <w:rPr>
                <w:color w:val="000000"/>
                <w:kern w:val="2"/>
                <w:szCs w:val="24"/>
                <w:shd w:fill="FFFFFF" w:val="clear"/>
              </w:rPr>
              <w:t>.</w:t>
            </w:r>
            <w:r>
              <w:rPr>
                <w:color w:val="000000"/>
                <w:kern w:val="2"/>
              </w:rPr>
              <w:t xml:space="preserve"> Antrojo ir vėlesnių perskaičiavimų atveju laikotarpio pradžia (mėnuo) yra paskutinio perskaičiavimo metu naudotos paskelbto atitinkamo indekso reikšmės mėnuo.</w:t>
            </w:r>
          </w:p>
          <w:p>
            <w:pPr>
              <w:pStyle w:val="Normal"/>
              <w:rPr>
                <w:color w:val="000000"/>
              </w:rPr>
            </w:pPr>
            <w:r>
              <w:rPr>
                <w:color w:val="000000"/>
                <w:kern w:val="2"/>
                <w:szCs w:val="24"/>
                <w:shd w:fill="FFFFFF" w:val="clear"/>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 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 5.3.3.9. Susitarimas turi būti sudarytas per 14 (keturiolika) kalendorinių dienų nuo Šalies pateikto tinkamo prašymo perskaičiuoti Sutarties įkainius gavimo dienos. 5.3.3.10. Susitarimu Šalys neturi teisės keisti procedūroje nurodytos tvarkos ar kitų Sutarties nuostatų, išskyrus, jei keitimas atliekamas pagal VPĮ nuostatas.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pPr>
              <w:pStyle w:val="Normal"/>
              <w:rPr>
                <w:color w:val="000000"/>
              </w:rPr>
            </w:pPr>
            <w:r>
              <w:rPr>
                <w:color w:val="000000"/>
                <w:kern w:val="2"/>
                <w:szCs w:val="24"/>
              </w:rPr>
              <w:t xml:space="preserve">Už Nenumatytas </w:t>
            </w:r>
            <w:r>
              <w:rPr>
                <w:color w:val="000000"/>
                <w:szCs w:val="24"/>
              </w:rPr>
              <w:t xml:space="preserve">paslaugas </w:t>
            </w:r>
            <w:r>
              <w:rPr>
                <w:color w:val="000000"/>
                <w:kern w:val="2"/>
                <w:szCs w:val="24"/>
              </w:rPr>
              <w:t xml:space="preserve">bus apmokama ne didesnėmis nei Užsakymo dieną Tiekėjo prekybos vietoje, kataloge ar interneto svetainėje nurodytomis galiojančiomis šių </w:t>
            </w:r>
            <w:r>
              <w:rPr>
                <w:color w:val="000000"/>
                <w:szCs w:val="24"/>
              </w:rPr>
              <w:t xml:space="preserve">paslaugų </w:t>
            </w:r>
            <w:r>
              <w:rPr>
                <w:color w:val="000000"/>
                <w:kern w:val="2"/>
                <w:szCs w:val="24"/>
              </w:rPr>
              <w:t>kainomis arba, jei tokios kainos neskelbiamos, tiekėjo pasiūlytomis, konkurencingomis ir rinką atitinkančiomis kainomis. Nenumatytų p</w:t>
            </w:r>
            <w:r>
              <w:rPr>
                <w:color w:val="000000"/>
                <w:szCs w:val="24"/>
              </w:rPr>
              <w:t>aslaugų</w:t>
            </w:r>
            <w:r>
              <w:rPr>
                <w:color w:val="000000"/>
                <w:kern w:val="2"/>
                <w:szCs w:val="24"/>
              </w:rPr>
              <w:t xml:space="preserve"> kaina su Pirkėju turi būti derinama iš anksto. Gavęs Tiekėjo pateiktas Nenumatytų </w:t>
            </w:r>
            <w:r>
              <w:rPr>
                <w:color w:val="000000"/>
                <w:szCs w:val="24"/>
              </w:rPr>
              <w:t xml:space="preserve">paslaugų </w:t>
            </w:r>
            <w:r>
              <w:rPr>
                <w:color w:val="000000"/>
                <w:kern w:val="2"/>
                <w:szCs w:val="24"/>
              </w:rPr>
              <w:t xml:space="preserve">kainas (komercinį pasiūlymą), Pirkėjas atlieka rinkos kainų tyrimą (apklausą telefonu ir / ar raštu, ir / ar paiešką elektroninėje erdvėje ar kt.), tokiu būdu įvertindamas, ar Tiekėjo pateiktos Nenumatytų </w:t>
            </w:r>
            <w:r>
              <w:rPr>
                <w:color w:val="000000"/>
                <w:szCs w:val="24"/>
              </w:rPr>
              <w:t>paslaugų</w:t>
            </w:r>
            <w:r>
              <w:rPr>
                <w:color w:val="000000"/>
                <w:kern w:val="2"/>
                <w:szCs w:val="24"/>
              </w:rPr>
              <w:t xml:space="preserve"> kainos atitinka rinkos kainas. Nustačius, kad Tiekėjo pasiūlytos Nenumatytų </w:t>
            </w:r>
            <w:r>
              <w:rPr>
                <w:color w:val="000000"/>
                <w:szCs w:val="24"/>
              </w:rPr>
              <w:t>paslaugų</w:t>
            </w:r>
            <w:r>
              <w:rPr>
                <w:color w:val="000000"/>
                <w:kern w:val="2"/>
                <w:szCs w:val="24"/>
              </w:rPr>
              <w:t xml:space="preserve"> kainos yra didesnės nei rinkos, Pirkėjas prašo Tiekėjo jas sumažinti. Tiekėjui nesutikus sumažinti Nenumatytų </w:t>
            </w:r>
            <w:r>
              <w:rPr>
                <w:color w:val="000000"/>
                <w:szCs w:val="24"/>
              </w:rPr>
              <w:t>paslaugų</w:t>
            </w:r>
            <w:r>
              <w:rPr>
                <w:color w:val="000000"/>
                <w:kern w:val="2"/>
                <w:szCs w:val="24"/>
              </w:rPr>
              <w:t xml:space="preserve"> kainos iki rinkos kainos, Pirkėjas pasilieka teisę Nenumatytas </w:t>
            </w:r>
            <w:r>
              <w:rPr>
                <w:color w:val="000000"/>
                <w:szCs w:val="24"/>
              </w:rPr>
              <w:t>paslaugas</w:t>
            </w:r>
            <w:r>
              <w:rPr>
                <w:color w:val="000000"/>
                <w:kern w:val="2"/>
                <w:szCs w:val="24"/>
              </w:rPr>
              <w:t xml:space="preserve"> įsigyti atskiru pirkimu.</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5.5. Atsiskaitymo su Tiekėju terminas ir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shd w:fill="FFFFFF" w:val="clear"/>
              </w:rPr>
              <w:t>Draudėjas sumoka draudimo įmokas pagal žemiau nurodytą grafiką:</w:t>
            </w:r>
          </w:p>
          <w:p>
            <w:pPr>
              <w:pStyle w:val="Normal"/>
              <w:rPr>
                <w:color w:val="000000"/>
              </w:rPr>
            </w:pPr>
            <w:r>
              <w:rPr>
                <w:color w:val="000000"/>
                <w:kern w:val="2"/>
                <w:szCs w:val="24"/>
                <w:shd w:fill="FFFFFF" w:val="clear"/>
              </w:rPr>
              <w:t>5.5.1. pirmąją mokėjimo sumą (įmoką) Draudėjas sumoka Draudikui už Apdraustųjų skaičių pagal Sutartyje nustatytus įkainius per 30 (trisdešimt) kalendorinių dienų nuo draudimo poliso (liudijimo) įsigaliojimo pradžios datos Sutarties Bendrųjų sąlygų 12 skyriuje nustatyta tvarka.</w:t>
            </w:r>
          </w:p>
          <w:p>
            <w:pPr>
              <w:pStyle w:val="Normal"/>
              <w:rPr>
                <w:color w:val="000000"/>
              </w:rPr>
            </w:pPr>
            <w:r>
              <w:rPr>
                <w:color w:val="000000"/>
                <w:kern w:val="2"/>
                <w:szCs w:val="24"/>
                <w:shd w:fill="FFFFFF" w:val="clear"/>
              </w:rPr>
              <w:t>5.5.2. Antroji, trečioji ir ketvirtoji Draudimo įmokos mokamos kas ketvirtį pagal Sutartyje nustatytus įkainius ir draudimo polise (liudijime) numatytą įmokos mokėjimo grafiką per 30 (trisdešimt) kalendori</w:t>
            </w:r>
            <w:r>
              <w:rPr>
                <w:color w:val="000000"/>
                <w:kern w:val="2"/>
                <w:szCs w:val="24"/>
              </w:rPr>
              <w:t>nių dienų Sutarties Bendrųjų sąlygų 12 skyriuje nustatyta tvarka.</w:t>
            </w:r>
          </w:p>
          <w:p>
            <w:pPr>
              <w:pStyle w:val="Normal"/>
              <w:rPr>
                <w:color w:val="000000"/>
              </w:rPr>
            </w:pPr>
            <w:r>
              <w:rPr>
                <w:color w:val="000000"/>
                <w:kern w:val="2"/>
                <w:szCs w:val="24"/>
              </w:rPr>
              <w:t>5.5.3. Perskaičiuota papildoma Draudimo įmoka už Apdraustųjų skaičiaus padidėjimą Draudikui sumokama per 30 (trisdešimt) kalendorinių dienų pagal Paslaugų teikėjo pateiktą PVM sąskaitą-faktūrą. Sutarties Bendrųjų sąlygų 12 skyriuje nustatyta tvarka.</w:t>
            </w:r>
          </w:p>
          <w:p>
            <w:pPr>
              <w:pStyle w:val="Normal"/>
              <w:rPr>
                <w:color w:val="000000"/>
              </w:rPr>
            </w:pPr>
            <w:r>
              <w:rPr>
                <w:color w:val="000000"/>
                <w:kern w:val="2"/>
                <w:szCs w:val="24"/>
              </w:rPr>
              <w:t>5.5.4. Perskaičiuota Draudimo įmoka už Apdraustųjų skaičiaus sumažėjimą Draudėjui grąžinama per 30 (trisdešimt) kalendorinių dienų į Sutarties Specialiųjų sąlygų 1.2 punkte nurodytą Draudėjo sąskaitą Bendrųjų sąlygų 12 skyriuje nustatyta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5.6. Avansas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5.7. Avanso užtikrinimas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6. PASLAUGŲ KOKYBĖ IR GARANTINIAI ĮSIPAREIGOJIMAI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6.1. Garantinis terminas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6.2. Terminas Paslaugų trūkumams pašalinti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Paslaugos turi būti suteiktos tinkamai, kokybiškai pagal Sutartyje ir jos prieduose nustatytus reikalavimus. Nustačius, kad Paslaugos yra suteiktos nekokybiškai, neatitinka Sutarties reikalavimų, Teikėjas privalo ištaisyti Paslaugų trūkumus per 5 (penkias) darbo dienas nuo Pirkėjo pranešimo apie nekokybiškai, netinkamai suteiktas Paslaugas gavimo dienos.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szCs w:val="24"/>
              </w:rPr>
            </w:pPr>
            <w:r>
              <w:rPr>
                <w:b/>
                <w:szCs w:val="24"/>
              </w:rPr>
              <w:t>6.3. Kokybinių kriterijų įgyvendinimo ir tikrinimo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7. SUTARTIES VYKDYMUI PASITELKIAMI SUBTIEKĖJAI IR (AR) SPECIALISTAI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7.1. Sutarties vykdymui pasitelkiami subtiekėjai ir (ar) specialistai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vykdymui subtiekėjai ir (ar) specialistai nepasitelkiami.</w:t>
            </w:r>
          </w:p>
          <w:p>
            <w:pPr>
              <w:pStyle w:val="Normal"/>
              <w:rPr>
                <w:kern w:val="2"/>
                <w:szCs w:val="24"/>
              </w:rPr>
            </w:pPr>
            <w:r>
              <w:rPr>
                <w:kern w:val="2"/>
                <w:szCs w:val="24"/>
              </w:rPr>
            </w:r>
          </w:p>
          <w:p>
            <w:pPr>
              <w:pStyle w:val="Normal"/>
              <w:rPr>
                <w:color w:val="FF0000"/>
                <w:kern w:val="2"/>
                <w:szCs w:val="24"/>
              </w:rPr>
            </w:pPr>
            <w:r>
              <w:rPr>
                <w:color w:val="FF0000"/>
                <w:kern w:val="2"/>
                <w:szCs w:val="24"/>
              </w:rPr>
              <w:t>arba</w:t>
            </w:r>
          </w:p>
          <w:p>
            <w:pPr>
              <w:pStyle w:val="Normal"/>
              <w:rPr>
                <w:kern w:val="2"/>
                <w:szCs w:val="24"/>
              </w:rPr>
            </w:pPr>
            <w:r>
              <w:rPr>
                <w:kern w:val="2"/>
                <w:szCs w:val="24"/>
              </w:rPr>
            </w:r>
          </w:p>
          <w:p>
            <w:pPr>
              <w:pStyle w:val="Normal"/>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8. PRIEVOLIŲ PAGAL SUTARTĮ ĮVYKDYMO UŽTIKRINIMAS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8.1. Prievolių pagal Sutartį įvykdymo užtikrinimas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Prievolių pagal Sutartį įvykdymas užtikrinamas:</w:t>
            </w:r>
          </w:p>
          <w:p>
            <w:pPr>
              <w:pStyle w:val="Normal"/>
              <w:rPr>
                <w:kern w:val="2"/>
                <w:szCs w:val="24"/>
              </w:rPr>
            </w:pPr>
            <w:r>
              <w:rPr>
                <w:kern w:val="2"/>
                <w:szCs w:val="24"/>
              </w:rPr>
              <w:t>Netesybomis (delspinigiais, bauda)</w:t>
            </w:r>
            <w:r>
              <w:rPr>
                <w:color w:val="4472C4"/>
                <w:kern w:val="2"/>
                <w:szCs w:val="24"/>
              </w:rPr>
              <w:t>.</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8.2 Sutarties įvykdymo užtikrinimo galiojimo terminas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8.3. Sutarties įvykdymo užtikrinimo pateikimas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9. ŠALIŲ ATSAKOMYBĖ</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9.1. Pirkėjui taikomos netesybos už mokėjimų pagal Sutartį vėlavimą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color w:val="FF0000"/>
                <w:kern w:val="2"/>
                <w:szCs w:val="24"/>
              </w:rPr>
            </w:pPr>
            <w:r>
              <w:rPr>
                <w:bCs/>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maksimalią delspinigių skaičiavimo ribą nustatant 20 (dvidešimt) procentų, skaičiuojamų nuo pradinės Sutarties vertės įskaitant PVM, jei jis Sutarčiai taikomas.  </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9.2. Tiekėjui taikomos netesybos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pPr>
            <w:r>
              <w:rPr>
                <w:color w:val="000000"/>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maksimalią delspinigių skaičiavimo ribą nustatant 20 (dvidešimt) procentų, skaičiuojamų nuo pradinės Sutarties vertės įskaitant PVM, jei jis Sutarčiai taikomas.</w:t>
            </w:r>
          </w:p>
          <w:p>
            <w:pPr>
              <w:pStyle w:val="Normal"/>
              <w:rPr/>
            </w:pPr>
            <w:r>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pPr>
              <w:pStyle w:val="Normal"/>
              <w:rPr/>
            </w:pPr>
            <w:r>
              <w:rPr>
                <w:color w:val="000000"/>
                <w:kern w:val="2"/>
                <w:szCs w:val="24"/>
              </w:rPr>
              <w:t>9.2.3. Tiekėjas privalo sumokėti Pirkėjui netesybas per 30 (trisdešimt) kalendorinių dienų nuo Pirkėjo pareikalavimo, jeigu netesybų suma nėra išskaitoma iš Tiekėjui mokėtinos sumos.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Cs/>
                <w:color w:val="000000"/>
                <w:kern w:val="2"/>
                <w:szCs w:val="24"/>
              </w:rPr>
              <w:t>9.3.1. Nutraukus Sutartį dėl esminio Sutarties pažeidimo, nustatyto Sutarties Specialiosiose sąlygose, mokama 2 (dviejų) procentų dydžio bauda nuo Pradinės Sutarties vertės be PVM, nurodytos Specialiųjų sąlygų 5.2 punkte.</w:t>
            </w:r>
          </w:p>
          <w:p>
            <w:pPr>
              <w:pStyle w:val="Normal"/>
              <w:rPr>
                <w:color w:val="000000"/>
              </w:rPr>
            </w:pPr>
            <w:r>
              <w:rPr>
                <w:bCs/>
                <w:color w:val="000000"/>
                <w:kern w:val="2"/>
                <w:szCs w:val="24"/>
              </w:rPr>
              <w:t>9.3.2. Nepagrįstai nutraukus Sutarties vykdymą ne Sutartyje nustatyta tvarka, mokama 2 (dviejų) procentų dydžio bauda nuo Pradinės Sutarties vertės, nurodytos Specialiųjų sąlygų 5.2 punkte.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color w:val="000000"/>
                <w:kern w:val="2"/>
                <w:szCs w:val="24"/>
              </w:rPr>
            </w:pPr>
            <w:r>
              <w:rPr>
                <w:bCs/>
                <w:color w:val="000000"/>
                <w:kern w:val="2"/>
                <w:szCs w:val="24"/>
              </w:rPr>
              <w:t>Netaikoma</w:t>
            </w:r>
          </w:p>
          <w:p>
            <w:pPr>
              <w:pStyle w:val="Normal"/>
              <w:rPr>
                <w:bCs/>
                <w:kern w:val="2"/>
                <w:szCs w:val="24"/>
              </w:rPr>
            </w:pPr>
            <w:r>
              <w:rPr>
                <w:bCs/>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9.5. Tiekėjui taikomos baudos dėl aplinkosauginių ir (arba) socialinių kriterijų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color w:val="000000"/>
                <w:kern w:val="2"/>
                <w:szCs w:val="24"/>
              </w:rPr>
            </w:pPr>
            <w:r>
              <w:rPr>
                <w:bCs/>
                <w:color w:val="000000"/>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9.6. Tiekėjui / Pirkėjui taikoma bauda dėl konfidencialumo reikalavimų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Netaikoma</w:t>
            </w:r>
          </w:p>
          <w:p>
            <w:pPr>
              <w:pStyle w:val="Normal"/>
              <w:rPr>
                <w:bCs/>
                <w:kern w:val="2"/>
                <w:szCs w:val="24"/>
              </w:rPr>
            </w:pPr>
            <w:r>
              <w:rPr>
                <w:bCs/>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rPr>
              <w:t>9.7. Tiekėjui taikomos netesybos dėl pirkimo dokumentuose nustatytų Kokybinių kriterijų nepasiekimo Sutarties vykdymo metu</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color w:val="4472C4"/>
                <w:szCs w:val="24"/>
              </w:rPr>
            </w:pPr>
            <w:r>
              <w:rPr>
                <w:bCs/>
                <w:szCs w:val="24"/>
              </w:rPr>
              <w:t>Netaikoma</w:t>
            </w:r>
          </w:p>
        </w:tc>
      </w:tr>
      <w:tr>
        <w:trPr>
          <w:trHeight w:val="156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9.8. Tiekėjui taikomos netesybos dėl Sutarties įvykdymo užtikrinimo </w:t>
            </w:r>
            <w:r>
              <w:rPr>
                <w:b/>
                <w:szCs w:val="24"/>
              </w:rPr>
              <w:t>nepratęsimo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Netaikoma</w:t>
            </w:r>
          </w:p>
          <w:p>
            <w:pPr>
              <w:pStyle w:val="Normal"/>
              <w:rPr>
                <w:color w:val="4472C4"/>
                <w:kern w:val="2"/>
                <w:szCs w:val="24"/>
              </w:rPr>
            </w:pPr>
            <w:r>
              <w:rPr>
                <w:color w:val="4472C4"/>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9.10. </w:t>
            </w:r>
            <w:r>
              <w:rPr>
                <w:b/>
                <w:kern w:val="2"/>
                <w:szCs w:val="24"/>
              </w:rPr>
              <w:t>Kitos netesybos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Netaikoma</w:t>
            </w:r>
          </w:p>
          <w:p>
            <w:pPr>
              <w:pStyle w:val="Normal"/>
              <w:rPr>
                <w:color w:val="4472C4"/>
                <w:kern w:val="2"/>
                <w:szCs w:val="24"/>
              </w:rPr>
            </w:pPr>
            <w:r>
              <w:rPr>
                <w:color w:val="4472C4"/>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b/>
                <w:kern w:val="2"/>
                <w:szCs w:val="24"/>
              </w:rPr>
              <w:t>10. ESMINĖS SUTARTIES SĄLYGOS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10.1. </w:t>
            </w:r>
            <w:r>
              <w:rPr>
                <w:b/>
                <w:kern w:val="2"/>
                <w:szCs w:val="24"/>
              </w:rPr>
              <w:t>Esminės Sutarties sąlygos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Draudimo paslaugų  teikimo terminai.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bCs/>
              </w:rPr>
              <w:t>10.2. Dideli arba nuolatiniai esminės Sutarties sąlygos vykdymo trūkumai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Draudimo paslaugų neteikimą ilgiau kaip 30 (trisdešimt) kalendorinių dienų, tai laikoma, kad esminę Sutarties sąlygą Tiekėjas vykdo su dideliais arba nuolatiniais trūkumais.</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11. SUTARTIES GALIOJIMAS IR KEITIMAS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11.1. Sutarties sudarymas ir įsigaliojimas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Ši Sutartis laikoma sudaryta, kai (pirma) ją pasirašo abi Šalys, ir (antra) nustatyta tvarka užregistravus.</w:t>
            </w:r>
          </w:p>
          <w:p>
            <w:pPr>
              <w:pStyle w:val="Normal"/>
              <w:rPr>
                <w:color w:val="4472C4"/>
                <w:kern w:val="2"/>
                <w:szCs w:val="24"/>
              </w:rPr>
            </w:pPr>
            <w:r>
              <w:rPr>
                <w:kern w:val="2"/>
                <w:szCs w:val="24"/>
              </w:rPr>
              <w:t>Sutartis galioja iki visiško prievolių įvykdymo (kol bus išnaudota Pradinės Sutarties vertė, bet jos terminas negali būti ilgesnis kaip 14 (k</w:t>
            </w:r>
            <w:r>
              <w:rPr>
                <w:color w:val="000000"/>
                <w:kern w:val="2"/>
                <w:szCs w:val="24"/>
              </w:rPr>
              <w:t>eturiolika) mėnesių.</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11.2. Sutarties galiojimo termino pratęsimas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12. SUTARTIES NUTRAUKIMAS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12.1. Sutarties nutraukimo pagrindai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 xml:space="preserve">12.2. Esminiai Sutarties </w:t>
            </w:r>
            <w:r>
              <w:rPr>
                <w:b/>
                <w:szCs w:val="24"/>
              </w:rPr>
              <w:t>pažeidimai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12.2.1. jeigu Tiekėjas nevykdo prisiimtų įsipareigojimų už Sutartyje nustatytą Sutarties įkainius;</w:t>
            </w:r>
          </w:p>
          <w:p>
            <w:pPr>
              <w:pStyle w:val="Normal"/>
              <w:rPr>
                <w:color w:val="000000"/>
              </w:rPr>
            </w:pPr>
            <w:r>
              <w:rPr>
                <w:color w:val="000000"/>
                <w:szCs w:val="24"/>
              </w:rPr>
              <w:t xml:space="preserve">12.2.2. </w:t>
            </w:r>
            <w:r>
              <w:rPr>
                <w:rFonts w:eastAsia="Arial"/>
                <w:color w:val="000000"/>
                <w:kern w:val="2"/>
                <w:szCs w:val="24"/>
              </w:rPr>
              <w:t>jeigu Tiekėjas nesilaiko Sutartyje nustatytų Paslaugų teikimo terminų 2 (du) kartus iš eilės arba vėluoja suteikti Paslaugas daugiau nei 30 (trisdešimt) kalendorinių dienų nuo Sutartyje nustatyto Paslaugų suteikimo termino;</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rPr>
              <w:t>12.2.3. 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rPr>
              <w:t>12.2.4.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rPr>
              <w:t>12.2.5. Tiekėjas daugiau kaip 2 (du) kartus suteikia Paslaugas, kurios neatitinka Sutartyje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rPr>
              <w:t>12.2.6. Tiekėjas pažeidžia šios Sutarties nuostatas, reglamentuojančias konkurenciją, intelektinės nuosavybės ar konfidencialios informacijos valdymą;</w:t>
            </w:r>
          </w:p>
          <w:p>
            <w:pPr>
              <w:pStyle w:val="Normal"/>
              <w:spacing w:lineRule="auto" w:line="252"/>
              <w:rPr>
                <w:color w:val="000000"/>
              </w:rPr>
            </w:pPr>
            <w:r>
              <w:rPr>
                <w:rFonts w:eastAsia="Arial"/>
                <w:color w:val="000000"/>
                <w:kern w:val="2"/>
                <w:szCs w:val="24"/>
              </w:rPr>
              <w:t>12.2.7.</w:t>
            </w:r>
            <w:r>
              <w:rPr>
                <w:color w:val="000000"/>
                <w:kern w:val="2"/>
                <w:szCs w:val="24"/>
                <w:shd w:fill="FFFFFF" w:val="clear"/>
              </w:rPr>
              <w:t xml:space="preserve"> </w:t>
            </w:r>
            <w:r>
              <w:rPr>
                <w:rFonts w:eastAsia="Arial"/>
                <w:color w:val="000000"/>
                <w:kern w:val="2"/>
                <w:szCs w:val="24"/>
              </w:rPr>
              <w:t>Tiekėjas 2 (du) kartus pažeidžia esminę Sutarties sąlygą.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b/>
                <w:kern w:val="2"/>
                <w:szCs w:val="24"/>
              </w:rPr>
              <w:t>13. APLINKOS APSAUGOS IR SOCIALINIAI KRITERIJAI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13.1. Su perkamomis paslaugomis susiję  aplinkos apsaugos kriterijai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papunkčiu.</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13.2. Su perkamomis Paslaugomis susiję socialiniai kriterijai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14. BENDRŲJŲ SĄLYGŲ PAKEITIMAI IR PAPILDYMAI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14.1.</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Šalys susitaria papildyti Sutarties Bendrųjų sąlygų 3.1. punktą „nurodytais punktais, tačiau kitų punktų numeracijos nekeisti:</w:t>
            </w:r>
          </w:p>
          <w:p>
            <w:pPr>
              <w:pStyle w:val="Normal"/>
              <w:jc w:val="both"/>
              <w:rPr/>
            </w:pPr>
            <w:r>
              <w:rPr/>
              <w:t xml:space="preserve">3.1.4.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4">
              <w:r>
                <w:rPr>
                  <w:rStyle w:val="Hyperlink"/>
                  <w:b/>
                  <w:bCs/>
                </w:rPr>
                <w:t>https://vmu.lt/wp-content/uploads/2021/08/Antikorupcine-politika.pdf</w:t>
              </w:r>
            </w:hyperlink>
            <w:r>
              <w:rPr/>
              <w:t>;</w:t>
            </w:r>
          </w:p>
          <w:p>
            <w:pPr>
              <w:pStyle w:val="Normal"/>
              <w:jc w:val="both"/>
              <w:rPr/>
            </w:pPr>
            <w:r>
              <w:rPr/>
              <w:t xml:space="preserve">3.1.5. Dovanų politika – dokumentas, kuriuo apibrėžiamos valstybės įmonės Valstybinių miškų urėdijos darbuotojų elgesio su dovanomis ir neteisėtu atlygiu principinės nuostatos. Su dokumentu galima susipažinti </w:t>
            </w:r>
            <w:hyperlink r:id="rId5">
              <w:r>
                <w:rPr>
                  <w:rStyle w:val="Hyperlink"/>
                  <w:b/>
                  <w:bCs/>
                </w:rPr>
                <w:t>https://vmu.lt/wp-content/uploads/2022/09/Dovanu-politika1.pdf</w:t>
              </w:r>
            </w:hyperlink>
            <w:r>
              <w:rPr/>
              <w:t>;</w:t>
            </w:r>
          </w:p>
          <w:p>
            <w:pPr>
              <w:pStyle w:val="Normal"/>
              <w:jc w:val="both"/>
              <w:rPr>
                <w:kern w:val="2"/>
                <w:szCs w:val="24"/>
              </w:rPr>
            </w:pPr>
            <w:r>
              <w:rPr>
                <w:kern w:val="2"/>
                <w:szCs w:val="24"/>
              </w:rPr>
              <w:t xml:space="preserve">3.1.6.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6">
              <w:r>
                <w:rPr>
                  <w:rStyle w:val="Hyperlink"/>
                  <w:b/>
                  <w:bCs/>
                  <w:kern w:val="2"/>
                  <w:szCs w:val="24"/>
                </w:rPr>
                <w:t>https://vmu.lt/wp-content/uploads/2021/08/Interesu-konfliktu-vengimo-politika.pdf</w:t>
              </w:r>
            </w:hyperlink>
            <w:r>
              <w:rPr>
                <w:kern w:val="2"/>
                <w:szCs w:val="24"/>
              </w:rPr>
              <w:t>;</w:t>
            </w:r>
          </w:p>
          <w:p>
            <w:pPr>
              <w:pStyle w:val="Normal"/>
              <w:jc w:val="both"/>
              <w:rPr>
                <w:kern w:val="2"/>
                <w:szCs w:val="24"/>
              </w:rPr>
            </w:pPr>
            <w:r>
              <w:rPr>
                <w:kern w:val="2"/>
                <w:szCs w:val="24"/>
              </w:rPr>
              <w:t>3.1.7.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pPr>
              <w:pStyle w:val="Normal"/>
              <w:jc w:val="both"/>
              <w:rPr>
                <w:kern w:val="2"/>
                <w:szCs w:val="24"/>
              </w:rPr>
            </w:pPr>
            <w:r>
              <w:rPr>
                <w:kern w:val="2"/>
                <w:szCs w:val="24"/>
              </w:rPr>
              <w:t>3.1.8.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pPr>
              <w:pStyle w:val="Normal"/>
              <w:jc w:val="both"/>
              <w:rPr>
                <w:kern w:val="2"/>
                <w:szCs w:val="24"/>
              </w:rPr>
            </w:pPr>
            <w:r>
              <w:rPr>
                <w:kern w:val="2"/>
                <w:szCs w:val="24"/>
              </w:rPr>
              <w:t>3.1.9.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pPr>
              <w:pStyle w:val="Normal"/>
              <w:jc w:val="both"/>
              <w:rPr>
                <w:kern w:val="2"/>
                <w:szCs w:val="24"/>
              </w:rPr>
            </w:pPr>
            <w:r>
              <w:rPr>
                <w:kern w:val="2"/>
                <w:szCs w:val="24"/>
              </w:rPr>
              <w:t>3.1.10.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pPr>
              <w:pStyle w:val="Normal"/>
              <w:jc w:val="both"/>
              <w:rPr>
                <w:kern w:val="2"/>
                <w:szCs w:val="24"/>
              </w:rPr>
            </w:pPr>
            <w:r>
              <w:rPr>
                <w:kern w:val="2"/>
                <w:szCs w:val="24"/>
              </w:rPr>
              <w:t>3.1.11.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aukščiau nurodytų aplinkybių atsiradimą“.</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14.2.</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papildyti Sutarties Bendrąsias sąlygas nurodytu punktu:</w:t>
            </w:r>
          </w:p>
          <w:p>
            <w:pPr>
              <w:pStyle w:val="Normal"/>
              <w:jc w:val="both"/>
              <w:rPr>
                <w:kern w:val="2"/>
                <w:szCs w:val="24"/>
              </w:rPr>
            </w:pPr>
            <w:r>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Pr>
                <w:i/>
                <w:iCs/>
              </w:rPr>
              <w:t>.</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14.3.</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 SUTARTIES PRIEDAI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15.1. Priedas Nr. 1</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Techninės specifikacija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15.2. Priedas Nr. 2</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Tiekėjo pasiūlymas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15.3. Priedas Nr. 3</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Bendrosios sąlygos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15.4. Priedas Nr. 4</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Įsipareigojimas neatskleisti konfidencialios informacijos</w:t>
            </w:r>
          </w:p>
        </w:tc>
      </w:tr>
      <w:tr>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16. ŠALIŲ ATSTOVŲ PARAŠAI</w:t>
            </w:r>
          </w:p>
        </w:tc>
      </w:tr>
      <w:tr>
        <w:trPr/>
        <w:tc>
          <w:tcPr>
            <w:tcW w:w="5226"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PIRKĖJAS</w:t>
            </w:r>
          </w:p>
        </w:tc>
        <w:tc>
          <w:tcPr>
            <w:tcW w:w="4308"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TIEKĖJAS</w:t>
            </w:r>
          </w:p>
        </w:tc>
      </w:tr>
      <w:tr>
        <w:trPr/>
        <w:tc>
          <w:tcPr>
            <w:tcW w:w="5226" w:type="dxa"/>
            <w:gridSpan w:val="3"/>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color w:val="4472C4"/>
                <w:kern w:val="2"/>
                <w:szCs w:val="24"/>
              </w:rPr>
              <w:t>(nurodomos atstovo pareigos, vardas, pavardė)</w:t>
            </w:r>
          </w:p>
        </w:tc>
        <w:tc>
          <w:tcPr>
            <w:tcW w:w="4308"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color w:val="4472C4"/>
                <w:kern w:val="2"/>
                <w:szCs w:val="24"/>
              </w:rPr>
              <w:t>(nurodomos atstovo pareigos, vardas, pavardė)</w:t>
            </w:r>
          </w:p>
        </w:tc>
      </w:tr>
      <w:tr>
        <w:trPr/>
        <w:tc>
          <w:tcPr>
            <w:tcW w:w="5226" w:type="dxa"/>
            <w:gridSpan w:val="3"/>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r>
          </w:p>
        </w:tc>
        <w:tc>
          <w:tcPr>
            <w:tcW w:w="4308" w:type="dxa"/>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tc>
      </w:tr>
    </w:tbl>
    <w:p>
      <w:pPr>
        <w:pStyle w:val="Normal"/>
        <w:rPr>
          <w:szCs w:val="24"/>
        </w:rPr>
      </w:pPr>
      <w:r>
        <w:rPr>
          <w:szCs w:val="24"/>
        </w:rPr>
      </w:r>
    </w:p>
    <w:p>
      <w:pPr>
        <w:pStyle w:val="Normal"/>
        <w:rPr>
          <w:szCs w:val="24"/>
        </w:rPr>
      </w:pPr>
      <w:r>
        <w:rPr>
          <w:szCs w:val="24"/>
        </w:rPr>
      </w:r>
    </w:p>
    <w:p>
      <w:pPr>
        <w:pStyle w:val="Normal"/>
        <w:tabs>
          <w:tab w:val="clear" w:pos="1296"/>
          <w:tab w:val="left" w:pos="5400" w:leader="none"/>
        </w:tabs>
        <w:jc w:val="center"/>
        <w:textAlignment w:val="center"/>
        <w:rPr/>
      </w:pPr>
      <w:r>
        <w:rPr>
          <w:b/>
          <w:bCs/>
        </w:rPr>
        <w:t>______________</w:t>
      </w:r>
    </w:p>
    <w:sectPr>
      <w:headerReference w:type="even" r:id="rId7"/>
      <w:headerReference w:type="default" r:id="rId8"/>
      <w:headerReference w:type="first" r:id="rId9"/>
      <w:footerReference w:type="even" r:id="rId10"/>
      <w:footerReference w:type="default" r:id="rId11"/>
      <w:footerReference w:type="first" r:id="rId12"/>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Segoe U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11</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819" w:leader="none"/>
        <w:tab w:val="right" w:pos="9638" w:leader="none"/>
      </w:tabs>
      <w:jc w:val="right"/>
      <w:rPr>
        <w:rFonts w:ascii="Arial" w:hAnsi="Arial" w:eastAsia="Calibri" w:cs="Arial"/>
        <w:sz w:val="20"/>
      </w:rPr>
    </w:pPr>
    <w:r>
      <w:rPr>
        <w:rFonts w:eastAsia="Calibri" w:cs="Arial" w:ascii="Arial" w:hAnsi="Arial"/>
        <w:sz w:val="20"/>
      </w:rPr>
      <w:t xml:space="preserve">Atviro konkurso Specialiųjų sąlygų </w:t>
    </w:r>
  </w:p>
  <w:p>
    <w:pPr>
      <w:pStyle w:val="Normal"/>
      <w:tabs>
        <w:tab w:val="clear" w:pos="1296"/>
        <w:tab w:val="center" w:pos="4819" w:leader="none"/>
        <w:tab w:val="right" w:pos="9638" w:leader="none"/>
      </w:tabs>
      <w:jc w:val="right"/>
      <w:rPr>
        <w:rFonts w:ascii="Arial" w:hAnsi="Arial" w:eastAsia="Calibri" w:cs="Arial"/>
        <w:sz w:val="20"/>
      </w:rPr>
    </w:pPr>
    <w:r>
      <w:rPr>
        <w:rFonts w:eastAsia="Calibri" w:cs="Arial" w:ascii="Arial" w:hAnsi="Arial"/>
        <w:sz w:val="20"/>
      </w:rPr>
      <w:t>priedas Nr. 5 „Paslaugų pirkimo-pardavimo sutarties specialiosios sąlygos“</w:t>
    </w:r>
  </w:p>
</w:hdr>
</file>

<file path=word/settings.xml><?xml version="1.0" encoding="utf-8"?>
<w:settings xmlns:w="http://schemas.openxmlformats.org/wordprocessingml/2006/main">
  <w:zoom w:percent="100"/>
  <w:trackRevisions/>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AntratsDiagrama" w:customStyle="1">
    <w:name w:val="Antraštės Diagrama"/>
    <w:basedOn w:val="DefaultParagraphFont"/>
    <w:qFormat/>
    <w:rsid w:val="007a75c6"/>
    <w:rPr/>
  </w:style>
  <w:style w:type="character" w:styleId="PoratDiagrama" w:customStyle="1">
    <w:name w:val="Poraštė Diagrama"/>
    <w:basedOn w:val="DefaultParagraphFont"/>
    <w:qFormat/>
    <w:rsid w:val="007a75c6"/>
    <w:rPr/>
  </w:style>
  <w:style w:type="character" w:styleId="normaltextrun" w:customStyle="1">
    <w:name w:val="normaltextrun"/>
    <w:basedOn w:val="DefaultParagraphFont"/>
    <w:qFormat/>
    <w:rsid w:val="00c74fa2"/>
    <w:rPr/>
  </w:style>
  <w:style w:type="character" w:styleId="eop" w:customStyle="1">
    <w:name w:val="eop"/>
    <w:basedOn w:val="DefaultParagraphFont"/>
    <w:qFormat/>
    <w:rsid w:val="00c74fa2"/>
    <w:rPr/>
  </w:style>
  <w:style w:type="character" w:styleId="Galinsinaosramenys" w:customStyle="1">
    <w:name w:val="Galinės išnašos rašmenys"/>
    <w:qFormat/>
    <w:rPr/>
  </w:style>
  <w:style w:type="character" w:styleId="InternetLink" w:customStyle="1">
    <w:name w:val="Internet Link"/>
    <w:qFormat/>
    <w:rPr>
      <w:color w:val="000080"/>
      <w:u w:val="single"/>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CommentReference">
    <w:name w:val="annotation reference"/>
    <w:basedOn w:val="DefaultParagraphFont"/>
    <w:semiHidden/>
    <w:unhideWhenUsed/>
    <w:qFormat/>
    <w:rsid w:val="00742204"/>
    <w:rPr>
      <w:sz w:val="16"/>
      <w:szCs w:val="16"/>
    </w:rPr>
  </w:style>
  <w:style w:type="character" w:styleId="KomentarotekstasDiagrama" w:customStyle="1">
    <w:name w:val="Komentaro tekstas Diagrama"/>
    <w:basedOn w:val="DefaultParagraphFont"/>
    <w:qFormat/>
    <w:rsid w:val="00742204"/>
    <w:rPr>
      <w:sz w:val="20"/>
    </w:rPr>
  </w:style>
  <w:style w:type="character" w:styleId="KomentarotemaDiagrama" w:customStyle="1">
    <w:name w:val="Komentaro tema Diagrama"/>
    <w:basedOn w:val="KomentarotekstasDiagrama"/>
    <w:link w:val="annotationsubject"/>
    <w:semiHidden/>
    <w:qFormat/>
    <w:rsid w:val="00742204"/>
    <w:rPr>
      <w:b/>
      <w:bCs/>
      <w:sz w:val="20"/>
    </w:rPr>
  </w:style>
  <w:style w:type="character" w:styleId="InternetLink6" w:customStyle="1">
    <w:name w:val="Internet Link6"/>
    <w:qFormat/>
    <w:rPr>
      <w:color w:val="000080"/>
      <w:u w:val="single"/>
    </w:rPr>
  </w:style>
  <w:style w:type="character" w:styleId="LineNumbering" w:customStyle="1">
    <w:name w:val="Line Numbering"/>
    <w:qFormat/>
    <w:rPr/>
  </w:style>
  <w:style w:type="character" w:styleId="InternetLink7">
    <w:name w:val="Internet Link7"/>
    <w:qFormat/>
    <w:rPr>
      <w:color w:val="000080"/>
      <w:u w:val="single"/>
    </w:rPr>
  </w:style>
  <w:style w:type="character" w:styleId="LineNumbering1">
    <w:name w:val="Line Numbering1"/>
    <w:qFormat/>
    <w:rPr/>
  </w:style>
  <w:style w:type="character" w:styleId="InternetLink8">
    <w:name w:val="Internet Link8"/>
    <w:qFormat/>
    <w:rPr>
      <w:color w:val="000080"/>
      <w:u w:val="single"/>
    </w:rPr>
  </w:style>
  <w:style w:type="character" w:styleId="LineNumbering2">
    <w:name w:val="Line Numbering2"/>
    <w:qFormat/>
    <w:rPr/>
  </w:style>
  <w:style w:type="character" w:styleId="InternetLink9">
    <w:name w:val="Internet Link9"/>
    <w:qFormat/>
    <w:rPr>
      <w:color w:val="000080"/>
      <w:u w:val="single"/>
    </w:rPr>
  </w:style>
  <w:style w:type="character" w:styleId="LineNumbering3">
    <w:name w:val="Line Numbering3"/>
    <w:qFormat/>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Cs w:val="24"/>
    </w:rPr>
  </w:style>
  <w:style w:type="paragraph" w:styleId="Rodykl" w:customStyle="1">
    <w:name w:val="Rodyklė"/>
    <w:basedOn w:val="Normal"/>
    <w:qFormat/>
    <w:pPr>
      <w:suppressLineNumbers/>
    </w:pPr>
    <w:rPr>
      <w:rFonts w:cs="Lucida Sans"/>
    </w:rPr>
  </w:style>
  <w:style w:type="paragraph" w:styleId="HeaderandFooter" w:customStyle="1">
    <w:name w:val="Header and Footer"/>
    <w:basedOn w:val="Normal"/>
    <w:qFormat/>
    <w:pPr/>
    <w:rPr/>
  </w:style>
  <w:style w:type="paragraph" w:styleId="Header">
    <w:name w:val="header"/>
    <w:basedOn w:val="Normal"/>
    <w:link w:val="AntratsDiagrama"/>
    <w:unhideWhenUsed/>
    <w:rsid w:val="007a75c6"/>
    <w:pPr>
      <w:tabs>
        <w:tab w:val="clear" w:pos="1296"/>
        <w:tab w:val="center" w:pos="4513" w:leader="none"/>
        <w:tab w:val="right" w:pos="9026" w:leader="none"/>
      </w:tabs>
    </w:pPr>
    <w:rPr/>
  </w:style>
  <w:style w:type="paragraph" w:styleId="Footer">
    <w:name w:val="footer"/>
    <w:basedOn w:val="Normal"/>
    <w:link w:val="PoratDiagrama"/>
    <w:unhideWhenUsed/>
    <w:rsid w:val="007a75c6"/>
    <w:pPr>
      <w:tabs>
        <w:tab w:val="clear" w:pos="1296"/>
        <w:tab w:val="center" w:pos="4513" w:leader="none"/>
        <w:tab w:val="right" w:pos="9026" w:leader="none"/>
      </w:tabs>
    </w:pPr>
    <w:rPr/>
  </w:style>
  <w:style w:type="paragraph" w:styleId="paragraph" w:customStyle="1">
    <w:name w:val="paragraph"/>
    <w:basedOn w:val="Normal"/>
    <w:qFormat/>
    <w:rsid w:val="00c74fa2"/>
    <w:pPr>
      <w:spacing w:beforeAutospacing="1" w:afterAutospacing="1"/>
    </w:pPr>
    <w:rPr>
      <w:szCs w:val="24"/>
      <w:lang w:val="en-US"/>
    </w:rPr>
  </w:style>
  <w:style w:type="paragraph" w:styleId="Lentelsturinys" w:customStyle="1">
    <w:name w:val="Lentelės turinys"/>
    <w:basedOn w:val="Normal"/>
    <w:qFormat/>
    <w:pPr>
      <w:widowControl w:val="false"/>
      <w:suppressLineNumbers/>
    </w:pPr>
    <w:rPr/>
  </w:style>
  <w:style w:type="paragraph" w:styleId="Lentelsantrat" w:customStyle="1">
    <w:name w:val="Lentelės antraštė"/>
    <w:basedOn w:val="Lentelsturinys"/>
    <w:qFormat/>
    <w:pPr>
      <w:jc w:val="center"/>
    </w:pPr>
    <w:rPr>
      <w:b/>
      <w:bCs/>
    </w:rPr>
  </w:style>
  <w:style w:type="paragraph" w:styleId="Revision">
    <w:name w:val="Revision"/>
    <w:semiHidden/>
    <w:qFormat/>
    <w:rsid w:val="00742204"/>
    <w:pPr>
      <w:widowControl/>
      <w:suppressAutoHyphens w:val="false"/>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CommentText">
    <w:name w:val="annotation text"/>
    <w:basedOn w:val="Normal"/>
    <w:link w:val="KomentarotekstasDiagrama"/>
    <w:unhideWhenUsed/>
    <w:rsid w:val="00742204"/>
    <w:pPr/>
    <w:rPr>
      <w:sz w:val="20"/>
    </w:rPr>
  </w:style>
  <w:style w:type="paragraph" w:styleId="annotationsubject">
    <w:name w:val="annotation subject"/>
    <w:basedOn w:val="CommentText"/>
    <w:next w:val="CommentText"/>
    <w:link w:val="KomentarotemaDiagrama"/>
    <w:semiHidden/>
    <w:unhideWhenUsed/>
    <w:qFormat/>
    <w:rsid w:val="00742204"/>
    <w:pPr/>
    <w:rPr>
      <w:b/>
      <w:bCs/>
    </w:rPr>
  </w:style>
  <w:style w:type="paragraph" w:styleId="Comment" w:customStyle="1">
    <w:name w:val="Comment"/>
    <w:basedOn w:val="Normal"/>
    <w:qFormat/>
    <w:pPr>
      <w:spacing w:before="56" w:after="0"/>
      <w:ind w:left="56" w:right="56"/>
    </w:pPr>
    <w:rPr>
      <w:sz w:val="20"/>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nfo@vmu.lt" TargetMode="External"/><Relationship Id="rId3" Type="http://schemas.openxmlformats.org/officeDocument/2006/relationships/hyperlink" Target="https://osp.stat.gov.lt/" TargetMode="External"/><Relationship Id="rId4" Type="http://schemas.openxmlformats.org/officeDocument/2006/relationships/hyperlink" Target="https://vmu.lt/wp-content/uploads/2021/08/Antikorupcine-politika.pdf" TargetMode="External"/><Relationship Id="rId5" Type="http://schemas.openxmlformats.org/officeDocument/2006/relationships/hyperlink" Target="https://vmu.lt/wp-content/uploads/2022/09/Dovanu-politika1.pdf" TargetMode="External"/><Relationship Id="rId6" Type="http://schemas.openxmlformats.org/officeDocument/2006/relationships/hyperlink" Target="https://vmu.lt/wp-content/uploads/2021/08/Interesu-konfliktu-vengimo-politika.pdf"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Application>LibreOffice/24.8.0.3$Windows_X86_64 LibreOffice_project/0bdf1299c94fe897b119f97f3c613e9dca6be583</Application>
  <AppVersion>15.0000</AppVersion>
  <Pages>11</Pages>
  <Words>2726</Words>
  <Characters>19670</Characters>
  <CharactersWithSpaces>22206</CharactersWithSpaces>
  <Paragraphs>213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2025-08-21T13:55:00Z</dcterms:created>
  <dc:creator>Renata Macijauskaitė | VMU</dc:creator>
  <dc:description/>
  <dc:language>lt-LT</dc:language>
  <cp:lastModifiedBy/>
  <dcterms:modified xsi:type="dcterms:W3CDTF">2025-08-27T09:08:57Z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